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color w:val="000000"/>
          <w:sz w:val="21"/>
          <w:szCs w:val="21"/>
        </w:rPr>
        <w:t>总体来看，人工智能的军事应用领域，理论创新已经明显滞后于技术创新实践应用的步伐，如：智能化战争呈现什么样的发展趋势与作战样式？人工智能将为新型作战力量建设带来哪些新的变量？出于对抗中的军事体系，高阶人工智能碾压低阶人工智能在什么情况下发生？如何认识人工智能支撑的复杂战争体系中新质战斗力的涌现规律？无人化作战给战争伦理带来哪些新的影响？</w:t>
      </w:r>
      <w:r>
        <w:rPr>
          <w:rFonts w:ascii="宋体" w:hAnsi="宋体" w:eastAsia="宋体" w:cs="宋体"/>
          <w:color w:val="000000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4CD0"/>
    <w:rsid w:val="0A602F7A"/>
    <w:rsid w:val="204C0501"/>
    <w:rsid w:val="54DA0AB5"/>
    <w:rsid w:val="6018582D"/>
    <w:rsid w:val="6AD8030F"/>
    <w:rsid w:val="75A909C0"/>
    <w:rsid w:val="7D2A1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2017-10-17T03:06:56Z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