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000000"/>
          <w:sz w:val="21"/>
          <w:szCs w:val="21"/>
        </w:rPr>
        <w:t>推动军民深度融合，必须创新思路。原始创新方面，要聚集创新之源；应用基础要拓宽应用之流。对应的时间节点可划分为：到2020年：打基础，成大国。积聚基地建设人才，创建机制；到</w:t>
      </w:r>
      <w:r>
        <w:rPr>
          <w:rFonts w:ascii="Calibri" w:hAnsi="Calibri" w:eastAsia="宋体" w:cs="Calibri"/>
          <w:color w:val="000000"/>
          <w:sz w:val="21"/>
          <w:szCs w:val="21"/>
        </w:rPr>
        <w:t>2030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年：寻突破，成强国。重点突破，形成威慑，部分领先；到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2045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年：出原创，成超级大国。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194D7195"/>
    <w:rsid w:val="204C0501"/>
    <w:rsid w:val="423F6E61"/>
    <w:rsid w:val="54DA0AB5"/>
    <w:rsid w:val="6018582D"/>
    <w:rsid w:val="6AD8030F"/>
    <w:rsid w:val="75A909C0"/>
    <w:rsid w:val="75C863D7"/>
    <w:rsid w:val="7C0C56BD"/>
    <w:rsid w:val="7D2A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